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2021/8 vom 12. Mai 2022</w:t>
      </w:r>
    </w:p>
    <w:p>
      <w:r>
        <w:t>Sg Versicherungsgericht, 2022-05-12, DE</w:t>
      </w:r>
    </w:p>
    <w:p>
      <w:r>
        <w:rPr>
          <w:b/>
        </w:rPr>
        <w:t xml:space="preserve">Quelle: </w:t>
      </w:r>
      <w:r>
        <w:t>https://mcp.opencaselaw.ch/entscheid/sg_publikationen_KV 2021_8</w:t>
      </w:r>
    </w:p>
    <w:p>
      <w:r>
        <w:t>FR: SG_VERSICHERUNGSGERICHT KV 2021/8 du 12 mai 2022</w:t>
      </w:r>
    </w:p>
    <w:p>
      <w:r>
        <w:t>IT: SG_VERSICHERUNGSGERICHT KV 2021/8 del 12 maggio 2022</w:t>
      </w:r>
    </w:p>
    <w:p>
      <w:pPr>
        <w:pStyle w:val="Heading2"/>
      </w:pPr>
      <w:r>
        <w:t>Regeste</w:t>
      </w:r>
    </w:p>
    <w:p>
      <w:r>
        <w:t>Art. 5 Abs. 3 BV; Art 27 und 46 ATSG: Prüfung der Voraussetzungen des Vertrauensschutzes hinsichtlich einer behaupteten telefonischen Auskunft betreffend den Umfang der Kostendeckung durch die obligatorische Krankenpflegeversicherung bei Notfallbehandlungen im Ausland sowie Beurteilung einer schriftlichen Bestätigung über die Versicherungsdeckung, die im Hinblick auf die Einreise in einen ausländischen Staat ausgestellt worden ist. Die Beschwerdeführerin vermag nicht dazutun, dass die Voraussetzungen für den Vertrauensschutz erfüllt sind. Abweisung der Beschwerde (Entscheid des Versicherungsgerichts des Kantons St. Gallen vom 12. Mai 2022, KV 2021/8).</w:t>
      </w:r>
    </w:p>
    <w:p>
      <w:pPr>
        <w:pStyle w:val="Heading2"/>
      </w:pPr>
      <w:r>
        <w:t>Erwägungen</w:t>
      </w:r>
    </w:p>
    <w:p>
      <w:r>
        <w:rPr>
          <w:b/>
        </w:rPr>
        <w:t>E. 6</w:t>
      </w:r>
    </w:p>
    <w:p>
      <w:r>
        <w:t>Da die Gerichtsschreiberin verhindert ist, wird der Entscheid stellvertretend von einer daran mitwirkenden Richterin unterzeichnet (Art. 39 ter Abs. 2 des Gesetzes über die Verwaltungsrechtspflege [VRP; sGS 941.1]).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